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27585" w14:textId="77777777" w:rsidR="002C171E" w:rsidRDefault="00000000">
      <w:pPr>
        <w:pStyle w:val="a"/>
        <w:rPr>
          <w:rFonts w:hAnsi="Times New Roman" w:cs="Times New Roman"/>
          <w:kern w:val="0"/>
          <w:szCs w:val="44"/>
        </w:rPr>
      </w:pPr>
      <w:r>
        <w:rPr>
          <w:rFonts w:hAnsi="Times New Roman" w:cs="Times New Roman" w:hint="eastAsia"/>
          <w:kern w:val="0"/>
          <w:szCs w:val="44"/>
        </w:rPr>
        <w:t>厦门大学马来西亚分校接收推荐免试研究生（含直博生）须知</w:t>
      </w:r>
    </w:p>
    <w:p w14:paraId="01036FD3" w14:textId="77777777" w:rsidR="002C171E" w:rsidRDefault="002C171E">
      <w:pPr>
        <w:widowControl/>
        <w:ind w:firstLine="640"/>
        <w:jc w:val="left"/>
        <w:rPr>
          <w:rFonts w:cs="Times New Roman"/>
          <w:kern w:val="0"/>
          <w:szCs w:val="32"/>
          <w:shd w:val="clear" w:color="auto" w:fill="FFFFFF"/>
        </w:rPr>
      </w:pPr>
    </w:p>
    <w:p w14:paraId="7BE5928B"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1</w:t>
      </w:r>
      <w:r>
        <w:rPr>
          <w:rFonts w:hint="eastAsia"/>
        </w:rPr>
        <w:t>．</w:t>
      </w:r>
      <w:r>
        <w:rPr>
          <w:rFonts w:cs="Times New Roman"/>
          <w:kern w:val="0"/>
          <w:szCs w:val="32"/>
          <w:shd w:val="clear" w:color="auto" w:fill="FFFFFF"/>
        </w:rPr>
        <w:t>关于培养模式：</w:t>
      </w:r>
    </w:p>
    <w:p w14:paraId="3133D4BC" w14:textId="77777777" w:rsidR="002C171E" w:rsidRDefault="00000000">
      <w:pPr>
        <w:widowControl/>
        <w:ind w:firstLine="640"/>
        <w:rPr>
          <w:rFonts w:cs="Times New Roman"/>
          <w:b/>
          <w:bCs/>
          <w:kern w:val="0"/>
          <w:szCs w:val="32"/>
          <w:shd w:val="clear" w:color="auto" w:fill="FFFFFF"/>
        </w:rPr>
      </w:pPr>
      <w:r>
        <w:rPr>
          <w:rFonts w:cs="Times New Roman"/>
          <w:kern w:val="0"/>
          <w:szCs w:val="32"/>
          <w:shd w:val="clear" w:color="auto" w:fill="FFFFFF"/>
        </w:rPr>
        <w:t>马来西亚分校录取</w:t>
      </w:r>
      <w:r>
        <w:rPr>
          <w:rFonts w:cs="Times New Roman" w:hint="eastAsia"/>
          <w:kern w:val="0"/>
          <w:szCs w:val="32"/>
          <w:shd w:val="clear" w:color="auto" w:fill="FFFFFF"/>
        </w:rPr>
        <w:t>硕士研究生</w:t>
      </w:r>
      <w:r>
        <w:rPr>
          <w:rFonts w:cs="Times New Roman"/>
          <w:kern w:val="0"/>
          <w:szCs w:val="32"/>
          <w:shd w:val="clear" w:color="auto" w:fill="FFFFFF"/>
        </w:rPr>
        <w:t>培养模式为</w:t>
      </w:r>
      <w:r>
        <w:rPr>
          <w:rFonts w:ascii="FangSong" w:hAnsi="FangSong" w:cs="FangSong" w:hint="eastAsia"/>
          <w:kern w:val="0"/>
          <w:szCs w:val="32"/>
          <w:shd w:val="clear" w:color="auto" w:fill="FFFFFF"/>
        </w:rPr>
        <w:t>“</w:t>
      </w:r>
      <w:r>
        <w:rPr>
          <w:rFonts w:cs="Times New Roman"/>
          <w:kern w:val="0"/>
          <w:szCs w:val="32"/>
          <w:shd w:val="clear" w:color="auto" w:fill="FFFFFF"/>
        </w:rPr>
        <w:t>1+2</w:t>
      </w:r>
      <w:r>
        <w:rPr>
          <w:rFonts w:ascii="FangSong" w:hAnsi="FangSong" w:cs="FangSong" w:hint="eastAsia"/>
          <w:kern w:val="0"/>
          <w:szCs w:val="32"/>
          <w:shd w:val="clear" w:color="auto" w:fill="FFFFFF"/>
        </w:rPr>
        <w:t>”</w:t>
      </w:r>
      <w:r>
        <w:rPr>
          <w:rFonts w:cs="Times New Roman"/>
          <w:kern w:val="0"/>
          <w:szCs w:val="32"/>
          <w:shd w:val="clear" w:color="auto" w:fill="FFFFFF"/>
        </w:rPr>
        <w:t>模式。即第一学年在厦门大学总校完成相关课程学习，第二、三学年在马来西亚分校培养</w:t>
      </w:r>
      <w:r>
        <w:rPr>
          <w:rFonts w:cs="Times New Roman" w:hint="eastAsia"/>
          <w:kern w:val="0"/>
          <w:szCs w:val="32"/>
          <w:shd w:val="clear" w:color="auto" w:fill="FFFFFF"/>
        </w:rPr>
        <w:t>。</w:t>
      </w:r>
      <w:r>
        <w:rPr>
          <w:rFonts w:cs="Times New Roman"/>
          <w:kern w:val="0"/>
          <w:szCs w:val="32"/>
          <w:shd w:val="clear" w:color="auto" w:fill="FFFFFF"/>
        </w:rPr>
        <w:t>录取</w:t>
      </w:r>
      <w:r>
        <w:rPr>
          <w:rFonts w:cs="Times New Roman" w:hint="eastAsia"/>
          <w:kern w:val="0"/>
          <w:szCs w:val="32"/>
          <w:shd w:val="clear" w:color="auto" w:fill="FFFFFF"/>
        </w:rPr>
        <w:t>直博生培养模式为“</w:t>
      </w:r>
      <w:r>
        <w:rPr>
          <w:rFonts w:cs="Times New Roman" w:hint="eastAsia"/>
          <w:kern w:val="0"/>
          <w:szCs w:val="32"/>
          <w:shd w:val="clear" w:color="auto" w:fill="FFFFFF"/>
        </w:rPr>
        <w:t>1.5+3.5</w:t>
      </w:r>
      <w:r>
        <w:rPr>
          <w:rFonts w:cs="Times New Roman" w:hint="eastAsia"/>
          <w:kern w:val="0"/>
          <w:szCs w:val="32"/>
          <w:shd w:val="clear" w:color="auto" w:fill="FFFFFF"/>
        </w:rPr>
        <w:t>”模式。</w:t>
      </w:r>
      <w:r>
        <w:rPr>
          <w:rFonts w:cs="Times New Roman"/>
          <w:kern w:val="0"/>
          <w:szCs w:val="32"/>
          <w:shd w:val="clear" w:color="auto" w:fill="FFFFFF"/>
        </w:rPr>
        <w:t>即第一学年</w:t>
      </w:r>
      <w:r>
        <w:rPr>
          <w:rFonts w:cs="Times New Roman" w:hint="eastAsia"/>
          <w:kern w:val="0"/>
          <w:szCs w:val="32"/>
          <w:shd w:val="clear" w:color="auto" w:fill="FFFFFF"/>
        </w:rPr>
        <w:t>和第二学年上学期</w:t>
      </w:r>
      <w:r>
        <w:rPr>
          <w:rFonts w:cs="Times New Roman"/>
          <w:kern w:val="0"/>
          <w:szCs w:val="32"/>
          <w:shd w:val="clear" w:color="auto" w:fill="FFFFFF"/>
        </w:rPr>
        <w:t>在厦门大学总校完成相关课程学习，第二</w:t>
      </w:r>
      <w:r>
        <w:rPr>
          <w:rFonts w:cs="Times New Roman" w:hint="eastAsia"/>
          <w:kern w:val="0"/>
          <w:szCs w:val="32"/>
          <w:shd w:val="clear" w:color="auto" w:fill="FFFFFF"/>
        </w:rPr>
        <w:t>学年下学期开始</w:t>
      </w:r>
      <w:r>
        <w:rPr>
          <w:rFonts w:cs="Times New Roman"/>
          <w:kern w:val="0"/>
          <w:szCs w:val="32"/>
          <w:shd w:val="clear" w:color="auto" w:fill="FFFFFF"/>
        </w:rPr>
        <w:t>在马来西亚分校培养。在马来西亚分校期间接受全英文教学，以英文完成毕业论文。</w:t>
      </w:r>
    </w:p>
    <w:p w14:paraId="2C750771"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2</w:t>
      </w:r>
      <w:r>
        <w:rPr>
          <w:rFonts w:hint="eastAsia"/>
        </w:rPr>
        <w:t>．</w:t>
      </w:r>
      <w:r>
        <w:rPr>
          <w:rFonts w:cs="Times New Roman"/>
          <w:kern w:val="0"/>
          <w:szCs w:val="32"/>
          <w:shd w:val="clear" w:color="auto" w:fill="FFFFFF"/>
        </w:rPr>
        <w:t>关于英语成绩要求：</w:t>
      </w:r>
    </w:p>
    <w:p w14:paraId="20AB370B"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根据马来西亚移民局规定，非马来西亚籍学生须在赴厦门大学马来西亚分校报到前取得相应录取专业要求的雅思、剑桥领思、托福、</w:t>
      </w:r>
      <w:r>
        <w:rPr>
          <w:rFonts w:cs="Times New Roman"/>
          <w:kern w:val="0"/>
          <w:szCs w:val="32"/>
          <w:shd w:val="clear" w:color="auto" w:fill="FFFFFF"/>
        </w:rPr>
        <w:t>PTE</w:t>
      </w:r>
      <w:r>
        <w:rPr>
          <w:rFonts w:cs="Times New Roman"/>
          <w:kern w:val="0"/>
          <w:szCs w:val="32"/>
          <w:shd w:val="clear" w:color="auto" w:fill="FFFFFF"/>
        </w:rPr>
        <w:t>等达标成绩（通过其中一类考试即可）。</w:t>
      </w:r>
    </w:p>
    <w:tbl>
      <w:tblPr>
        <w:tblStyle w:val="TableGrid"/>
        <w:tblW w:w="10363" w:type="dxa"/>
        <w:jc w:val="center"/>
        <w:tblLayout w:type="fixed"/>
        <w:tblLook w:val="04A0" w:firstRow="1" w:lastRow="0" w:firstColumn="1" w:lastColumn="0" w:noHBand="0" w:noVBand="1"/>
      </w:tblPr>
      <w:tblGrid>
        <w:gridCol w:w="2331"/>
        <w:gridCol w:w="913"/>
        <w:gridCol w:w="825"/>
        <w:gridCol w:w="1463"/>
        <w:gridCol w:w="787"/>
        <w:gridCol w:w="1538"/>
        <w:gridCol w:w="2506"/>
      </w:tblGrid>
      <w:tr w:rsidR="002C171E" w14:paraId="2B214EA7" w14:textId="77777777">
        <w:trPr>
          <w:jc w:val="center"/>
        </w:trPr>
        <w:tc>
          <w:tcPr>
            <w:tcW w:w="2331" w:type="dxa"/>
            <w:vAlign w:val="center"/>
          </w:tcPr>
          <w:p w14:paraId="636B754A"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硕士专业名称</w:t>
            </w:r>
          </w:p>
        </w:tc>
        <w:tc>
          <w:tcPr>
            <w:tcW w:w="913" w:type="dxa"/>
            <w:vAlign w:val="center"/>
          </w:tcPr>
          <w:p w14:paraId="2C7F7EFC"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雅思</w:t>
            </w:r>
          </w:p>
        </w:tc>
        <w:tc>
          <w:tcPr>
            <w:tcW w:w="825" w:type="dxa"/>
            <w:vAlign w:val="center"/>
          </w:tcPr>
          <w:p w14:paraId="323760FD"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托福</w:t>
            </w:r>
            <w:r>
              <w:rPr>
                <w:rFonts w:eastAsia="SimHei" w:cs="Times New Roman"/>
                <w:kern w:val="0"/>
                <w:sz w:val="28"/>
                <w:szCs w:val="28"/>
              </w:rPr>
              <w:t>IBT</w:t>
            </w:r>
          </w:p>
        </w:tc>
        <w:tc>
          <w:tcPr>
            <w:tcW w:w="1463" w:type="dxa"/>
            <w:vAlign w:val="center"/>
          </w:tcPr>
          <w:p w14:paraId="1190A2C7"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托福</w:t>
            </w:r>
            <w:r>
              <w:rPr>
                <w:rFonts w:eastAsia="SimHei" w:cs="Times New Roman"/>
                <w:kern w:val="0"/>
                <w:sz w:val="28"/>
                <w:szCs w:val="28"/>
              </w:rPr>
              <w:t>Essentials</w:t>
            </w:r>
          </w:p>
        </w:tc>
        <w:tc>
          <w:tcPr>
            <w:tcW w:w="787" w:type="dxa"/>
            <w:vAlign w:val="center"/>
          </w:tcPr>
          <w:p w14:paraId="74C1701A"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PTE</w:t>
            </w:r>
          </w:p>
        </w:tc>
        <w:tc>
          <w:tcPr>
            <w:tcW w:w="1538" w:type="dxa"/>
            <w:vAlign w:val="center"/>
          </w:tcPr>
          <w:p w14:paraId="3BF67E0C"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MUET</w:t>
            </w:r>
          </w:p>
        </w:tc>
        <w:tc>
          <w:tcPr>
            <w:tcW w:w="2506" w:type="dxa"/>
            <w:vAlign w:val="center"/>
          </w:tcPr>
          <w:p w14:paraId="7A4E5BB6"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剑桥英语资格考试（剑桥领思）</w:t>
            </w:r>
          </w:p>
        </w:tc>
      </w:tr>
      <w:tr w:rsidR="002C171E" w14:paraId="519D5C98" w14:textId="77777777">
        <w:trPr>
          <w:trHeight w:val="567"/>
          <w:jc w:val="center"/>
        </w:trPr>
        <w:tc>
          <w:tcPr>
            <w:tcW w:w="2331" w:type="dxa"/>
            <w:vAlign w:val="center"/>
          </w:tcPr>
          <w:p w14:paraId="37D3281F" w14:textId="77777777" w:rsidR="002C171E" w:rsidRDefault="00000000">
            <w:pPr>
              <w:ind w:firstLineChars="0" w:firstLine="0"/>
              <w:jc w:val="center"/>
              <w:rPr>
                <w:rFonts w:cs="Times New Roman"/>
                <w:kern w:val="0"/>
                <w:sz w:val="28"/>
                <w:szCs w:val="28"/>
              </w:rPr>
            </w:pPr>
            <w:r>
              <w:rPr>
                <w:rFonts w:cs="Times New Roman"/>
                <w:kern w:val="0"/>
                <w:sz w:val="28"/>
                <w:szCs w:val="28"/>
              </w:rPr>
              <w:t>先进能源</w:t>
            </w:r>
          </w:p>
        </w:tc>
        <w:tc>
          <w:tcPr>
            <w:tcW w:w="913" w:type="dxa"/>
            <w:vAlign w:val="center"/>
          </w:tcPr>
          <w:p w14:paraId="3AB703BB"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1A16E7F1"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7BCCB534"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775095FB"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6996B564"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55B9BD3B"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r w:rsidR="002C171E" w14:paraId="5C5A0E96" w14:textId="77777777">
        <w:trPr>
          <w:trHeight w:val="567"/>
          <w:jc w:val="center"/>
        </w:trPr>
        <w:tc>
          <w:tcPr>
            <w:tcW w:w="2331" w:type="dxa"/>
            <w:vAlign w:val="center"/>
          </w:tcPr>
          <w:p w14:paraId="1CF61D18" w14:textId="77777777" w:rsidR="002C171E" w:rsidRDefault="00000000">
            <w:pPr>
              <w:ind w:firstLineChars="0" w:firstLine="0"/>
              <w:jc w:val="center"/>
              <w:rPr>
                <w:rFonts w:cs="Times New Roman"/>
                <w:kern w:val="0"/>
                <w:sz w:val="28"/>
                <w:szCs w:val="28"/>
                <w:lang w:val="en-MY"/>
              </w:rPr>
            </w:pPr>
            <w:r>
              <w:rPr>
                <w:rFonts w:cs="Times New Roman"/>
                <w:kern w:val="0"/>
                <w:sz w:val="28"/>
                <w:szCs w:val="28"/>
                <w:lang w:val="en-MY"/>
              </w:rPr>
              <w:t>化学工程与技术</w:t>
            </w:r>
          </w:p>
        </w:tc>
        <w:tc>
          <w:tcPr>
            <w:tcW w:w="913" w:type="dxa"/>
            <w:vAlign w:val="center"/>
          </w:tcPr>
          <w:p w14:paraId="28C6EE72"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72B66540"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5A574049"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604A0A0F"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1370BD9D"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6726F38B"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r w:rsidR="002C171E" w14:paraId="18E46AA7" w14:textId="77777777">
        <w:trPr>
          <w:trHeight w:val="567"/>
          <w:jc w:val="center"/>
        </w:trPr>
        <w:tc>
          <w:tcPr>
            <w:tcW w:w="2331" w:type="dxa"/>
            <w:vAlign w:val="center"/>
          </w:tcPr>
          <w:p w14:paraId="05EE6A56" w14:textId="77777777" w:rsidR="002C171E" w:rsidRDefault="00000000">
            <w:pPr>
              <w:ind w:firstLineChars="0" w:firstLine="0"/>
              <w:jc w:val="center"/>
              <w:rPr>
                <w:rFonts w:cs="Times New Roman"/>
                <w:kern w:val="0"/>
                <w:sz w:val="28"/>
                <w:szCs w:val="28"/>
              </w:rPr>
            </w:pPr>
            <w:r>
              <w:rPr>
                <w:rFonts w:cs="Times New Roman"/>
                <w:kern w:val="0"/>
                <w:sz w:val="28"/>
                <w:szCs w:val="28"/>
              </w:rPr>
              <w:t>物理学</w:t>
            </w:r>
          </w:p>
        </w:tc>
        <w:tc>
          <w:tcPr>
            <w:tcW w:w="913" w:type="dxa"/>
            <w:vAlign w:val="center"/>
          </w:tcPr>
          <w:p w14:paraId="2672108D"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00F1CA9E"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56F6B742"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51E15118"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4BF0DD29"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726146C2"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r w:rsidR="002C171E" w14:paraId="01304638" w14:textId="77777777">
        <w:trPr>
          <w:trHeight w:val="567"/>
          <w:jc w:val="center"/>
        </w:trPr>
        <w:tc>
          <w:tcPr>
            <w:tcW w:w="2331" w:type="dxa"/>
            <w:vAlign w:val="center"/>
          </w:tcPr>
          <w:p w14:paraId="0DDC4AFC" w14:textId="77777777" w:rsidR="002C171E" w:rsidRDefault="00000000">
            <w:pPr>
              <w:ind w:firstLineChars="0" w:firstLine="0"/>
              <w:jc w:val="center"/>
              <w:rPr>
                <w:rFonts w:cs="Times New Roman"/>
                <w:kern w:val="0"/>
                <w:sz w:val="28"/>
                <w:szCs w:val="28"/>
              </w:rPr>
            </w:pPr>
            <w:r>
              <w:rPr>
                <w:rStyle w:val="Hyperlink"/>
                <w:rFonts w:cs="Times New Roman"/>
                <w:color w:val="auto"/>
                <w:kern w:val="0"/>
                <w:sz w:val="30"/>
                <w:szCs w:val="30"/>
                <w:u w:val="none"/>
              </w:rPr>
              <w:t>海洋生物技术</w:t>
            </w:r>
          </w:p>
        </w:tc>
        <w:tc>
          <w:tcPr>
            <w:tcW w:w="913" w:type="dxa"/>
            <w:vAlign w:val="center"/>
          </w:tcPr>
          <w:p w14:paraId="57354F81"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3337FD47"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05FC5879"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3CDADEF7"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33A88EBC"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64789670"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bl>
    <w:p w14:paraId="34028BAA" w14:textId="77777777" w:rsidR="002C171E" w:rsidRDefault="00000000">
      <w:pPr>
        <w:ind w:firstLine="640"/>
        <w:rPr>
          <w:rFonts w:cs="Times New Roman"/>
          <w:kern w:val="0"/>
          <w:szCs w:val="32"/>
          <w:shd w:val="clear" w:color="auto" w:fill="FFFFFF"/>
        </w:rPr>
      </w:pPr>
      <w:r>
        <w:rPr>
          <w:rFonts w:cs="Times New Roman"/>
          <w:kern w:val="0"/>
          <w:szCs w:val="32"/>
          <w:shd w:val="clear" w:color="auto" w:fill="FFFFFF"/>
        </w:rPr>
        <w:br w:type="page"/>
      </w:r>
    </w:p>
    <w:tbl>
      <w:tblPr>
        <w:tblStyle w:val="TableGrid"/>
        <w:tblW w:w="10363" w:type="dxa"/>
        <w:jc w:val="center"/>
        <w:tblLayout w:type="fixed"/>
        <w:tblLook w:val="04A0" w:firstRow="1" w:lastRow="0" w:firstColumn="1" w:lastColumn="0" w:noHBand="0" w:noVBand="1"/>
      </w:tblPr>
      <w:tblGrid>
        <w:gridCol w:w="2331"/>
        <w:gridCol w:w="913"/>
        <w:gridCol w:w="825"/>
        <w:gridCol w:w="1463"/>
        <w:gridCol w:w="787"/>
        <w:gridCol w:w="1538"/>
        <w:gridCol w:w="2506"/>
      </w:tblGrid>
      <w:tr w:rsidR="002C171E" w14:paraId="194ACB18" w14:textId="77777777">
        <w:trPr>
          <w:jc w:val="center"/>
        </w:trPr>
        <w:tc>
          <w:tcPr>
            <w:tcW w:w="2331" w:type="dxa"/>
            <w:vAlign w:val="center"/>
          </w:tcPr>
          <w:p w14:paraId="60B4D0DF" w14:textId="77777777" w:rsidR="002C171E" w:rsidRDefault="00000000">
            <w:pPr>
              <w:ind w:firstLineChars="0" w:firstLine="0"/>
              <w:jc w:val="center"/>
              <w:rPr>
                <w:rFonts w:eastAsia="SimHei" w:cs="Times New Roman"/>
                <w:kern w:val="0"/>
                <w:sz w:val="28"/>
                <w:szCs w:val="28"/>
              </w:rPr>
            </w:pPr>
            <w:r>
              <w:rPr>
                <w:rFonts w:eastAsia="SimHei" w:cs="Times New Roman" w:hint="eastAsia"/>
                <w:kern w:val="0"/>
                <w:sz w:val="28"/>
                <w:szCs w:val="28"/>
              </w:rPr>
              <w:lastRenderedPageBreak/>
              <w:t>博士</w:t>
            </w:r>
            <w:r>
              <w:rPr>
                <w:rFonts w:eastAsia="SimHei" w:cs="Times New Roman"/>
                <w:kern w:val="0"/>
                <w:sz w:val="28"/>
                <w:szCs w:val="28"/>
              </w:rPr>
              <w:t>专业名称</w:t>
            </w:r>
          </w:p>
        </w:tc>
        <w:tc>
          <w:tcPr>
            <w:tcW w:w="913" w:type="dxa"/>
            <w:vAlign w:val="center"/>
          </w:tcPr>
          <w:p w14:paraId="13BDF7BC"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雅思</w:t>
            </w:r>
          </w:p>
        </w:tc>
        <w:tc>
          <w:tcPr>
            <w:tcW w:w="825" w:type="dxa"/>
            <w:vAlign w:val="center"/>
          </w:tcPr>
          <w:p w14:paraId="79D594B3"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托福</w:t>
            </w:r>
            <w:r>
              <w:rPr>
                <w:rFonts w:eastAsia="SimHei" w:cs="Times New Roman"/>
                <w:kern w:val="0"/>
                <w:sz w:val="28"/>
                <w:szCs w:val="28"/>
              </w:rPr>
              <w:t>IBT</w:t>
            </w:r>
          </w:p>
        </w:tc>
        <w:tc>
          <w:tcPr>
            <w:tcW w:w="1463" w:type="dxa"/>
            <w:vAlign w:val="center"/>
          </w:tcPr>
          <w:p w14:paraId="11B69A15"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托福</w:t>
            </w:r>
            <w:r>
              <w:rPr>
                <w:rFonts w:eastAsia="SimHei" w:cs="Times New Roman"/>
                <w:kern w:val="0"/>
                <w:sz w:val="28"/>
                <w:szCs w:val="28"/>
              </w:rPr>
              <w:t>Essentials</w:t>
            </w:r>
          </w:p>
        </w:tc>
        <w:tc>
          <w:tcPr>
            <w:tcW w:w="787" w:type="dxa"/>
            <w:vAlign w:val="center"/>
          </w:tcPr>
          <w:p w14:paraId="2541BF45"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PTE</w:t>
            </w:r>
          </w:p>
        </w:tc>
        <w:tc>
          <w:tcPr>
            <w:tcW w:w="1538" w:type="dxa"/>
            <w:vAlign w:val="center"/>
          </w:tcPr>
          <w:p w14:paraId="665370E9"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MUET</w:t>
            </w:r>
          </w:p>
        </w:tc>
        <w:tc>
          <w:tcPr>
            <w:tcW w:w="2506" w:type="dxa"/>
            <w:vAlign w:val="center"/>
          </w:tcPr>
          <w:p w14:paraId="2A1F995A" w14:textId="77777777" w:rsidR="002C171E" w:rsidRDefault="00000000">
            <w:pPr>
              <w:ind w:firstLineChars="0" w:firstLine="0"/>
              <w:jc w:val="center"/>
              <w:rPr>
                <w:rFonts w:eastAsia="SimHei" w:cs="Times New Roman"/>
                <w:kern w:val="0"/>
                <w:sz w:val="28"/>
                <w:szCs w:val="28"/>
              </w:rPr>
            </w:pPr>
            <w:r>
              <w:rPr>
                <w:rFonts w:eastAsia="SimHei" w:cs="Times New Roman"/>
                <w:kern w:val="0"/>
                <w:sz w:val="28"/>
                <w:szCs w:val="28"/>
              </w:rPr>
              <w:t>剑桥英语资格考试（剑桥领思）</w:t>
            </w:r>
          </w:p>
        </w:tc>
      </w:tr>
      <w:tr w:rsidR="002C171E" w14:paraId="5164CF20" w14:textId="77777777">
        <w:trPr>
          <w:trHeight w:val="567"/>
          <w:jc w:val="center"/>
        </w:trPr>
        <w:tc>
          <w:tcPr>
            <w:tcW w:w="2331" w:type="dxa"/>
            <w:vAlign w:val="center"/>
          </w:tcPr>
          <w:p w14:paraId="655E1070" w14:textId="77777777" w:rsidR="002C171E" w:rsidRDefault="00000000">
            <w:pPr>
              <w:ind w:firstLineChars="0" w:firstLine="0"/>
              <w:jc w:val="center"/>
              <w:rPr>
                <w:rFonts w:cs="Times New Roman"/>
                <w:kern w:val="0"/>
                <w:sz w:val="28"/>
                <w:szCs w:val="28"/>
              </w:rPr>
            </w:pPr>
            <w:r>
              <w:rPr>
                <w:rFonts w:cs="Times New Roman"/>
                <w:kern w:val="0"/>
                <w:sz w:val="28"/>
                <w:szCs w:val="28"/>
              </w:rPr>
              <w:t>能源</w:t>
            </w:r>
            <w:r>
              <w:rPr>
                <w:rFonts w:cs="Times New Roman" w:hint="eastAsia"/>
                <w:kern w:val="0"/>
                <w:sz w:val="28"/>
                <w:szCs w:val="28"/>
              </w:rPr>
              <w:t>化学</w:t>
            </w:r>
          </w:p>
        </w:tc>
        <w:tc>
          <w:tcPr>
            <w:tcW w:w="913" w:type="dxa"/>
            <w:vAlign w:val="center"/>
          </w:tcPr>
          <w:p w14:paraId="64A985C8"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567E357A"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42D671C5"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37D77459"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5F9755BE"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4BC14AF1"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r w:rsidR="002C171E" w14:paraId="5BF0E203" w14:textId="77777777">
        <w:trPr>
          <w:trHeight w:val="567"/>
          <w:jc w:val="center"/>
        </w:trPr>
        <w:tc>
          <w:tcPr>
            <w:tcW w:w="2331" w:type="dxa"/>
            <w:vAlign w:val="center"/>
          </w:tcPr>
          <w:p w14:paraId="236AD4B8" w14:textId="77777777" w:rsidR="002C171E" w:rsidRDefault="00000000">
            <w:pPr>
              <w:ind w:firstLineChars="0" w:firstLine="0"/>
              <w:jc w:val="center"/>
              <w:rPr>
                <w:rFonts w:cs="Times New Roman"/>
                <w:kern w:val="0"/>
                <w:sz w:val="28"/>
                <w:szCs w:val="28"/>
                <w:lang w:val="en-MY"/>
              </w:rPr>
            </w:pPr>
            <w:r>
              <w:rPr>
                <w:rFonts w:cs="Times New Roman"/>
                <w:kern w:val="0"/>
                <w:sz w:val="28"/>
                <w:szCs w:val="28"/>
                <w:lang w:val="en-MY"/>
              </w:rPr>
              <w:t>化学工程与技术</w:t>
            </w:r>
          </w:p>
        </w:tc>
        <w:tc>
          <w:tcPr>
            <w:tcW w:w="913" w:type="dxa"/>
            <w:vAlign w:val="center"/>
          </w:tcPr>
          <w:p w14:paraId="546F655E"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5090AEC6"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598DC3C9"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2E9CD867"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5226ADDA"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30E85425"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r w:rsidR="002C171E" w14:paraId="1C372852" w14:textId="77777777">
        <w:trPr>
          <w:trHeight w:val="567"/>
          <w:jc w:val="center"/>
        </w:trPr>
        <w:tc>
          <w:tcPr>
            <w:tcW w:w="2331" w:type="dxa"/>
            <w:vAlign w:val="center"/>
          </w:tcPr>
          <w:p w14:paraId="431B6D5F" w14:textId="77777777" w:rsidR="002C171E" w:rsidRDefault="00000000">
            <w:pPr>
              <w:ind w:firstLineChars="0" w:firstLine="0"/>
              <w:jc w:val="center"/>
              <w:rPr>
                <w:rFonts w:cs="Times New Roman"/>
                <w:kern w:val="0"/>
                <w:sz w:val="28"/>
                <w:szCs w:val="28"/>
              </w:rPr>
            </w:pPr>
            <w:r>
              <w:rPr>
                <w:rFonts w:cs="Times New Roman"/>
                <w:kern w:val="0"/>
                <w:sz w:val="28"/>
                <w:szCs w:val="28"/>
              </w:rPr>
              <w:t>物理学</w:t>
            </w:r>
          </w:p>
        </w:tc>
        <w:tc>
          <w:tcPr>
            <w:tcW w:w="913" w:type="dxa"/>
            <w:vAlign w:val="center"/>
          </w:tcPr>
          <w:p w14:paraId="0E3FBF04"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3E8FA657"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27ED1FB0"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4EE572BC"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536F814B"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77C002C5"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r w:rsidR="002C171E" w14:paraId="1DA53A31" w14:textId="77777777">
        <w:trPr>
          <w:trHeight w:val="567"/>
          <w:jc w:val="center"/>
        </w:trPr>
        <w:tc>
          <w:tcPr>
            <w:tcW w:w="2331" w:type="dxa"/>
            <w:vAlign w:val="center"/>
          </w:tcPr>
          <w:p w14:paraId="0B1282DF" w14:textId="77777777" w:rsidR="002C171E" w:rsidRDefault="00000000">
            <w:pPr>
              <w:ind w:firstLineChars="0" w:firstLine="0"/>
              <w:jc w:val="center"/>
              <w:rPr>
                <w:rFonts w:cs="Times New Roman"/>
                <w:kern w:val="0"/>
                <w:sz w:val="28"/>
                <w:szCs w:val="28"/>
              </w:rPr>
            </w:pPr>
            <w:r>
              <w:rPr>
                <w:rStyle w:val="Hyperlink"/>
                <w:rFonts w:cs="Times New Roman"/>
                <w:color w:val="auto"/>
                <w:kern w:val="0"/>
                <w:sz w:val="30"/>
                <w:szCs w:val="30"/>
                <w:u w:val="none"/>
              </w:rPr>
              <w:t>海洋</w:t>
            </w:r>
            <w:r>
              <w:rPr>
                <w:rStyle w:val="Hyperlink"/>
                <w:rFonts w:cs="Times New Roman" w:hint="eastAsia"/>
                <w:color w:val="auto"/>
                <w:kern w:val="0"/>
                <w:sz w:val="30"/>
                <w:szCs w:val="30"/>
                <w:u w:val="none"/>
              </w:rPr>
              <w:t>科学</w:t>
            </w:r>
          </w:p>
        </w:tc>
        <w:tc>
          <w:tcPr>
            <w:tcW w:w="913" w:type="dxa"/>
            <w:vAlign w:val="center"/>
          </w:tcPr>
          <w:p w14:paraId="60335783" w14:textId="77777777" w:rsidR="002C171E" w:rsidRDefault="00000000">
            <w:pPr>
              <w:ind w:firstLineChars="0" w:firstLine="0"/>
              <w:jc w:val="center"/>
              <w:rPr>
                <w:rFonts w:cs="Times New Roman"/>
                <w:kern w:val="0"/>
                <w:sz w:val="28"/>
                <w:szCs w:val="28"/>
              </w:rPr>
            </w:pPr>
            <w:r>
              <w:rPr>
                <w:rFonts w:cs="Times New Roman"/>
                <w:kern w:val="0"/>
                <w:sz w:val="28"/>
                <w:szCs w:val="28"/>
              </w:rPr>
              <w:t>5.0</w:t>
            </w:r>
          </w:p>
        </w:tc>
        <w:tc>
          <w:tcPr>
            <w:tcW w:w="825" w:type="dxa"/>
            <w:vAlign w:val="center"/>
          </w:tcPr>
          <w:p w14:paraId="2CB126C4" w14:textId="77777777" w:rsidR="002C171E" w:rsidRDefault="00000000">
            <w:pPr>
              <w:ind w:firstLineChars="0" w:firstLine="0"/>
              <w:jc w:val="center"/>
              <w:rPr>
                <w:rFonts w:cs="Times New Roman"/>
                <w:kern w:val="0"/>
                <w:sz w:val="28"/>
                <w:szCs w:val="28"/>
              </w:rPr>
            </w:pPr>
            <w:r>
              <w:rPr>
                <w:rFonts w:cs="Times New Roman"/>
                <w:kern w:val="0"/>
                <w:sz w:val="28"/>
                <w:szCs w:val="28"/>
              </w:rPr>
              <w:t>40</w:t>
            </w:r>
          </w:p>
        </w:tc>
        <w:tc>
          <w:tcPr>
            <w:tcW w:w="1463" w:type="dxa"/>
            <w:vAlign w:val="center"/>
          </w:tcPr>
          <w:p w14:paraId="2328EF71" w14:textId="77777777" w:rsidR="002C171E" w:rsidRDefault="00000000">
            <w:pPr>
              <w:ind w:firstLineChars="0" w:firstLine="0"/>
              <w:jc w:val="center"/>
              <w:rPr>
                <w:rFonts w:cs="Times New Roman"/>
                <w:kern w:val="0"/>
                <w:sz w:val="28"/>
                <w:szCs w:val="28"/>
              </w:rPr>
            </w:pPr>
            <w:r>
              <w:rPr>
                <w:rFonts w:cs="Times New Roman"/>
                <w:kern w:val="0"/>
                <w:sz w:val="28"/>
                <w:szCs w:val="28"/>
              </w:rPr>
              <w:t>7.5</w:t>
            </w:r>
          </w:p>
        </w:tc>
        <w:tc>
          <w:tcPr>
            <w:tcW w:w="787" w:type="dxa"/>
            <w:vAlign w:val="center"/>
          </w:tcPr>
          <w:p w14:paraId="74768B67" w14:textId="77777777" w:rsidR="002C171E" w:rsidRDefault="00000000">
            <w:pPr>
              <w:ind w:firstLineChars="0" w:firstLine="0"/>
              <w:jc w:val="center"/>
              <w:rPr>
                <w:rFonts w:cs="Times New Roman"/>
                <w:kern w:val="0"/>
                <w:sz w:val="28"/>
                <w:szCs w:val="28"/>
              </w:rPr>
            </w:pPr>
            <w:r>
              <w:rPr>
                <w:rFonts w:cs="Times New Roman"/>
                <w:kern w:val="0"/>
                <w:sz w:val="28"/>
                <w:szCs w:val="28"/>
              </w:rPr>
              <w:t>47</w:t>
            </w:r>
          </w:p>
        </w:tc>
        <w:tc>
          <w:tcPr>
            <w:tcW w:w="1538" w:type="dxa"/>
            <w:vAlign w:val="center"/>
          </w:tcPr>
          <w:p w14:paraId="02CEE7F5" w14:textId="77777777" w:rsidR="002C171E" w:rsidRDefault="00000000">
            <w:pPr>
              <w:ind w:firstLineChars="0" w:firstLine="0"/>
              <w:jc w:val="center"/>
              <w:rPr>
                <w:rFonts w:cs="Times New Roman"/>
                <w:kern w:val="0"/>
                <w:sz w:val="28"/>
                <w:szCs w:val="28"/>
              </w:rPr>
            </w:pPr>
            <w:r>
              <w:rPr>
                <w:rFonts w:cs="Times New Roman"/>
                <w:kern w:val="0"/>
                <w:sz w:val="28"/>
                <w:szCs w:val="28"/>
              </w:rPr>
              <w:t>BAND 3.5</w:t>
            </w:r>
          </w:p>
        </w:tc>
        <w:tc>
          <w:tcPr>
            <w:tcW w:w="2506" w:type="dxa"/>
            <w:vAlign w:val="center"/>
          </w:tcPr>
          <w:p w14:paraId="56A54718" w14:textId="77777777" w:rsidR="002C171E" w:rsidRDefault="00000000">
            <w:pPr>
              <w:ind w:firstLineChars="0" w:firstLine="0"/>
              <w:jc w:val="center"/>
              <w:rPr>
                <w:rFonts w:cs="Times New Roman"/>
                <w:kern w:val="0"/>
                <w:sz w:val="28"/>
                <w:szCs w:val="28"/>
              </w:rPr>
            </w:pPr>
            <w:r>
              <w:rPr>
                <w:rFonts w:cs="Times New Roman"/>
                <w:kern w:val="0"/>
                <w:sz w:val="28"/>
                <w:szCs w:val="28"/>
              </w:rPr>
              <w:t>154</w:t>
            </w:r>
          </w:p>
        </w:tc>
      </w:tr>
      <w:tr w:rsidR="002C171E" w14:paraId="5BE4A05E" w14:textId="77777777">
        <w:trPr>
          <w:trHeight w:val="567"/>
          <w:jc w:val="center"/>
        </w:trPr>
        <w:tc>
          <w:tcPr>
            <w:tcW w:w="2331" w:type="dxa"/>
            <w:shd w:val="clear" w:color="auto" w:fill="auto"/>
            <w:vAlign w:val="center"/>
          </w:tcPr>
          <w:p w14:paraId="66B62571" w14:textId="77777777" w:rsidR="002C171E" w:rsidRDefault="00000000">
            <w:pPr>
              <w:ind w:firstLineChars="0" w:firstLine="0"/>
              <w:jc w:val="center"/>
              <w:rPr>
                <w:rStyle w:val="Hyperlink"/>
                <w:rFonts w:cs="Times New Roman"/>
                <w:color w:val="auto"/>
                <w:kern w:val="0"/>
                <w:sz w:val="30"/>
                <w:szCs w:val="30"/>
                <w:u w:val="none"/>
              </w:rPr>
            </w:pPr>
            <w:r>
              <w:rPr>
                <w:rStyle w:val="Hyperlink"/>
                <w:rFonts w:cs="Times New Roman" w:hint="eastAsia"/>
                <w:color w:val="auto"/>
                <w:spacing w:val="-23"/>
                <w:kern w:val="0"/>
                <w:sz w:val="30"/>
                <w:szCs w:val="30"/>
                <w:u w:val="none"/>
              </w:rPr>
              <w:t>计算机科学与技术</w:t>
            </w:r>
          </w:p>
        </w:tc>
        <w:tc>
          <w:tcPr>
            <w:tcW w:w="913" w:type="dxa"/>
            <w:vAlign w:val="center"/>
          </w:tcPr>
          <w:p w14:paraId="74C7505E" w14:textId="77777777" w:rsidR="002C171E" w:rsidRDefault="00000000">
            <w:pPr>
              <w:ind w:firstLineChars="0" w:firstLine="0"/>
              <w:jc w:val="center"/>
              <w:rPr>
                <w:rFonts w:cs="Times New Roman"/>
                <w:kern w:val="0"/>
                <w:sz w:val="28"/>
                <w:szCs w:val="28"/>
              </w:rPr>
            </w:pPr>
            <w:r>
              <w:rPr>
                <w:rFonts w:cs="Times New Roman" w:hint="eastAsia"/>
                <w:kern w:val="0"/>
                <w:sz w:val="28"/>
                <w:szCs w:val="28"/>
              </w:rPr>
              <w:t>6.0</w:t>
            </w:r>
          </w:p>
        </w:tc>
        <w:tc>
          <w:tcPr>
            <w:tcW w:w="825" w:type="dxa"/>
            <w:vAlign w:val="center"/>
          </w:tcPr>
          <w:p w14:paraId="1D630AB4" w14:textId="77777777" w:rsidR="002C171E" w:rsidRDefault="00000000">
            <w:pPr>
              <w:ind w:firstLineChars="0" w:firstLine="0"/>
              <w:jc w:val="center"/>
              <w:rPr>
                <w:rFonts w:cs="Times New Roman"/>
                <w:kern w:val="0"/>
                <w:sz w:val="28"/>
                <w:szCs w:val="28"/>
              </w:rPr>
            </w:pPr>
            <w:r>
              <w:rPr>
                <w:rFonts w:cs="Times New Roman" w:hint="eastAsia"/>
                <w:kern w:val="0"/>
                <w:sz w:val="28"/>
                <w:szCs w:val="28"/>
              </w:rPr>
              <w:t>60</w:t>
            </w:r>
          </w:p>
        </w:tc>
        <w:tc>
          <w:tcPr>
            <w:tcW w:w="1463" w:type="dxa"/>
            <w:vAlign w:val="center"/>
          </w:tcPr>
          <w:p w14:paraId="7B9E6C3C" w14:textId="77777777" w:rsidR="002C171E" w:rsidRDefault="00000000">
            <w:pPr>
              <w:ind w:firstLineChars="0" w:firstLine="0"/>
              <w:jc w:val="center"/>
              <w:rPr>
                <w:rFonts w:cs="Times New Roman"/>
                <w:kern w:val="0"/>
                <w:sz w:val="28"/>
                <w:szCs w:val="28"/>
              </w:rPr>
            </w:pPr>
            <w:r>
              <w:rPr>
                <w:rFonts w:cs="Times New Roman" w:hint="eastAsia"/>
                <w:kern w:val="0"/>
                <w:sz w:val="28"/>
                <w:szCs w:val="28"/>
              </w:rPr>
              <w:t>8.5</w:t>
            </w:r>
          </w:p>
        </w:tc>
        <w:tc>
          <w:tcPr>
            <w:tcW w:w="787" w:type="dxa"/>
            <w:vAlign w:val="center"/>
          </w:tcPr>
          <w:p w14:paraId="07AB39A1" w14:textId="77777777" w:rsidR="002C171E" w:rsidRDefault="00000000">
            <w:pPr>
              <w:ind w:firstLineChars="0" w:firstLine="0"/>
              <w:jc w:val="center"/>
              <w:rPr>
                <w:rFonts w:cs="Times New Roman"/>
                <w:kern w:val="0"/>
                <w:sz w:val="28"/>
                <w:szCs w:val="28"/>
              </w:rPr>
            </w:pPr>
            <w:r>
              <w:rPr>
                <w:rFonts w:cs="Times New Roman" w:hint="eastAsia"/>
                <w:kern w:val="0"/>
                <w:sz w:val="28"/>
                <w:szCs w:val="28"/>
              </w:rPr>
              <w:t>59</w:t>
            </w:r>
          </w:p>
        </w:tc>
        <w:tc>
          <w:tcPr>
            <w:tcW w:w="1538" w:type="dxa"/>
            <w:vAlign w:val="center"/>
          </w:tcPr>
          <w:p w14:paraId="4ECE8478" w14:textId="77777777" w:rsidR="002C171E" w:rsidRDefault="00000000">
            <w:pPr>
              <w:ind w:firstLineChars="0" w:firstLine="0"/>
              <w:jc w:val="center"/>
              <w:rPr>
                <w:rFonts w:cs="Times New Roman"/>
                <w:kern w:val="0"/>
                <w:sz w:val="28"/>
                <w:szCs w:val="28"/>
              </w:rPr>
            </w:pPr>
            <w:r>
              <w:rPr>
                <w:rFonts w:cs="Times New Roman" w:hint="eastAsia"/>
                <w:kern w:val="0"/>
                <w:sz w:val="28"/>
                <w:szCs w:val="28"/>
              </w:rPr>
              <w:t>BAND 4.0</w:t>
            </w:r>
          </w:p>
        </w:tc>
        <w:tc>
          <w:tcPr>
            <w:tcW w:w="2506" w:type="dxa"/>
            <w:vAlign w:val="center"/>
          </w:tcPr>
          <w:p w14:paraId="63BCC529" w14:textId="77777777" w:rsidR="002C171E" w:rsidRDefault="00000000">
            <w:pPr>
              <w:ind w:firstLineChars="0" w:firstLine="0"/>
              <w:jc w:val="center"/>
              <w:rPr>
                <w:rFonts w:cs="Times New Roman"/>
                <w:kern w:val="0"/>
                <w:sz w:val="28"/>
                <w:szCs w:val="28"/>
              </w:rPr>
            </w:pPr>
            <w:r>
              <w:rPr>
                <w:rFonts w:cs="Times New Roman" w:hint="eastAsia"/>
                <w:kern w:val="0"/>
                <w:sz w:val="28"/>
                <w:szCs w:val="28"/>
              </w:rPr>
              <w:t>169</w:t>
            </w:r>
          </w:p>
        </w:tc>
      </w:tr>
    </w:tbl>
    <w:p w14:paraId="6CE91442"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3</w:t>
      </w:r>
      <w:r>
        <w:rPr>
          <w:rFonts w:hint="eastAsia"/>
        </w:rPr>
        <w:t>．</w:t>
      </w:r>
      <w:r>
        <w:rPr>
          <w:rFonts w:cs="Times New Roman"/>
          <w:kern w:val="0"/>
          <w:szCs w:val="32"/>
          <w:shd w:val="clear" w:color="auto" w:fill="FFFFFF"/>
        </w:rPr>
        <w:t>关于体检要求：</w:t>
      </w:r>
    </w:p>
    <w:p w14:paraId="44BB0736"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录取学生抵达马来西亚后，须根据马来西亚移民局要求，参加由分校组织的入境体检，体检合格方可就学。检查项目包括：常规项目、眼科检查、皮肤检查、内外科检查、尿检、血检、胸透、</w:t>
      </w:r>
      <w:r>
        <w:rPr>
          <w:rFonts w:cs="Times New Roman"/>
          <w:kern w:val="0"/>
          <w:szCs w:val="32"/>
          <w:shd w:val="clear" w:color="auto" w:fill="FFFFFF"/>
        </w:rPr>
        <w:t>B</w:t>
      </w:r>
      <w:r>
        <w:rPr>
          <w:rFonts w:cs="Times New Roman"/>
          <w:kern w:val="0"/>
          <w:szCs w:val="32"/>
          <w:shd w:val="clear" w:color="auto" w:fill="FFFFFF"/>
        </w:rPr>
        <w:t>超、心电图检查及心理健康情况排查等。学生入境体检未达马来西亚移民局要求，如患乙肝、疟疾、肺结核、伤寒、癫痫等传染疾病及马来西亚移民局认定不符合国际学生体检要求的其他疾病，会影响学生签证办理进度，严重者会被要求回国治疗，由此可能导致休学、退学等情况。</w:t>
      </w:r>
    </w:p>
    <w:p w14:paraId="5610775C" w14:textId="77777777" w:rsidR="002C171E" w:rsidRDefault="00000000">
      <w:pPr>
        <w:widowControl/>
        <w:ind w:firstLine="640"/>
        <w:rPr>
          <w:rFonts w:cs="Times New Roman"/>
          <w:kern w:val="0"/>
          <w:szCs w:val="32"/>
          <w:shd w:val="clear" w:color="auto" w:fill="FFFFFF"/>
        </w:rPr>
      </w:pPr>
      <w:r>
        <w:rPr>
          <w:rFonts w:hint="eastAsia"/>
        </w:rPr>
        <w:t>4</w:t>
      </w:r>
      <w:r>
        <w:rPr>
          <w:rFonts w:hint="eastAsia"/>
        </w:rPr>
        <w:t>．</w:t>
      </w:r>
      <w:r>
        <w:rPr>
          <w:rFonts w:cs="Times New Roman"/>
          <w:kern w:val="0"/>
          <w:szCs w:val="32"/>
          <w:shd w:val="clear" w:color="auto" w:fill="FFFFFF"/>
        </w:rPr>
        <w:t>关于学费缴纳：</w:t>
      </w:r>
    </w:p>
    <w:p w14:paraId="50BFEEF8"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分校</w:t>
      </w:r>
      <w:r>
        <w:rPr>
          <w:rFonts w:cs="Times New Roman" w:hint="eastAsia"/>
          <w:kern w:val="0"/>
          <w:szCs w:val="32"/>
          <w:shd w:val="clear" w:color="auto" w:fill="FFFFFF"/>
        </w:rPr>
        <w:t>硕士、博士研究生</w:t>
      </w:r>
      <w:r>
        <w:rPr>
          <w:rFonts w:cs="Times New Roman"/>
          <w:kern w:val="0"/>
          <w:szCs w:val="32"/>
          <w:shd w:val="clear" w:color="auto" w:fill="FFFFFF"/>
        </w:rPr>
        <w:t>相关专业学费标准均按厦门大学总校标准执行。在马来西亚</w:t>
      </w:r>
      <w:r>
        <w:rPr>
          <w:rFonts w:cs="Times New Roman" w:hint="eastAsia"/>
          <w:kern w:val="0"/>
          <w:szCs w:val="32"/>
          <w:shd w:val="clear" w:color="auto" w:fill="FFFFFF"/>
        </w:rPr>
        <w:t>就读期间，</w:t>
      </w:r>
      <w:r>
        <w:rPr>
          <w:rFonts w:cs="Times New Roman"/>
          <w:kern w:val="0"/>
          <w:szCs w:val="32"/>
          <w:shd w:val="clear" w:color="auto" w:fill="FFFFFF"/>
        </w:rPr>
        <w:t>还需额外缴纳国际学生手续费与教育服务税，与学费等一并直接缴交至厦门大学马来西亚分校。</w:t>
      </w:r>
    </w:p>
    <w:p w14:paraId="6E3F852B"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国际学生手续费为</w:t>
      </w:r>
      <w:r>
        <w:rPr>
          <w:rFonts w:cs="Times New Roman"/>
          <w:kern w:val="0"/>
          <w:szCs w:val="32"/>
          <w:shd w:val="clear" w:color="auto" w:fill="FFFFFF"/>
        </w:rPr>
        <w:t>2500</w:t>
      </w:r>
      <w:r>
        <w:rPr>
          <w:rFonts w:cs="Times New Roman"/>
          <w:kern w:val="0"/>
          <w:szCs w:val="32"/>
          <w:shd w:val="clear" w:color="auto" w:fill="FFFFFF"/>
        </w:rPr>
        <w:t>林吉特</w:t>
      </w:r>
      <w:r>
        <w:rPr>
          <w:rFonts w:cs="Times New Roman"/>
          <w:kern w:val="0"/>
          <w:szCs w:val="32"/>
          <w:shd w:val="clear" w:color="auto" w:fill="FFFFFF"/>
        </w:rPr>
        <w:t>/</w:t>
      </w:r>
      <w:r>
        <w:rPr>
          <w:rFonts w:cs="Times New Roman"/>
          <w:kern w:val="0"/>
          <w:szCs w:val="32"/>
          <w:shd w:val="clear" w:color="auto" w:fill="FFFFFF"/>
        </w:rPr>
        <w:t>学年，涵盖学生签证、体检、保险等费用。自</w:t>
      </w:r>
      <w:r>
        <w:rPr>
          <w:rFonts w:cs="Times New Roman"/>
          <w:kern w:val="0"/>
          <w:szCs w:val="32"/>
          <w:shd w:val="clear" w:color="auto" w:fill="FFFFFF"/>
        </w:rPr>
        <w:t>2025</w:t>
      </w:r>
      <w:r>
        <w:rPr>
          <w:rFonts w:cs="Times New Roman"/>
          <w:kern w:val="0"/>
          <w:szCs w:val="32"/>
          <w:shd w:val="clear" w:color="auto" w:fill="FFFFFF"/>
        </w:rPr>
        <w:t>年</w:t>
      </w:r>
      <w:r>
        <w:rPr>
          <w:rFonts w:cs="Times New Roman"/>
          <w:kern w:val="0"/>
          <w:szCs w:val="32"/>
          <w:shd w:val="clear" w:color="auto" w:fill="FFFFFF"/>
        </w:rPr>
        <w:t>7</w:t>
      </w:r>
      <w:r>
        <w:rPr>
          <w:rFonts w:cs="Times New Roman"/>
          <w:kern w:val="0"/>
          <w:szCs w:val="32"/>
          <w:shd w:val="clear" w:color="auto" w:fill="FFFFFF"/>
        </w:rPr>
        <w:t>月起，马来西亚政府向国际</w:t>
      </w:r>
      <w:r>
        <w:rPr>
          <w:rFonts w:cs="Times New Roman"/>
          <w:kern w:val="0"/>
          <w:szCs w:val="32"/>
          <w:shd w:val="clear" w:color="auto" w:fill="FFFFFF"/>
        </w:rPr>
        <w:lastRenderedPageBreak/>
        <w:t>学生征收</w:t>
      </w:r>
      <w:r>
        <w:rPr>
          <w:rFonts w:cs="Times New Roman"/>
          <w:kern w:val="0"/>
          <w:szCs w:val="32"/>
          <w:shd w:val="clear" w:color="auto" w:fill="FFFFFF"/>
        </w:rPr>
        <w:t>6%</w:t>
      </w:r>
      <w:r>
        <w:rPr>
          <w:rFonts w:cs="Times New Roman"/>
          <w:kern w:val="0"/>
          <w:szCs w:val="32"/>
          <w:shd w:val="clear" w:color="auto" w:fill="FFFFFF"/>
        </w:rPr>
        <w:t>的教育服务税（</w:t>
      </w:r>
      <w:r>
        <w:rPr>
          <w:rFonts w:cs="Times New Roman"/>
          <w:kern w:val="0"/>
          <w:szCs w:val="32"/>
          <w:shd w:val="clear" w:color="auto" w:fill="FFFFFF"/>
        </w:rPr>
        <w:t>SST</w:t>
      </w:r>
      <w:r>
        <w:rPr>
          <w:rFonts w:cs="Times New Roman"/>
          <w:kern w:val="0"/>
          <w:szCs w:val="32"/>
          <w:shd w:val="clear" w:color="auto" w:fill="FFFFFF"/>
        </w:rPr>
        <w:t>），该税费以学生每学年应缴纳的学费及国际学生手续费总额为基数对应收取。</w:t>
      </w:r>
    </w:p>
    <w:p w14:paraId="15E4C41A" w14:textId="77777777" w:rsidR="002C171E" w:rsidRDefault="00000000">
      <w:pPr>
        <w:widowControl/>
        <w:ind w:firstLine="640"/>
        <w:rPr>
          <w:rFonts w:cs="Times New Roman"/>
          <w:kern w:val="0"/>
          <w:szCs w:val="32"/>
          <w:shd w:val="clear" w:color="auto" w:fill="FFFFFF"/>
        </w:rPr>
      </w:pPr>
      <w:r>
        <w:rPr>
          <w:rFonts w:hint="eastAsia"/>
        </w:rPr>
        <w:t>5</w:t>
      </w:r>
      <w:r>
        <w:rPr>
          <w:rFonts w:hint="eastAsia"/>
        </w:rPr>
        <w:t>．</w:t>
      </w:r>
      <w:r>
        <w:rPr>
          <w:rFonts w:cs="Times New Roman"/>
          <w:kern w:val="0"/>
          <w:szCs w:val="32"/>
          <w:shd w:val="clear" w:color="auto" w:fill="FFFFFF"/>
        </w:rPr>
        <w:t>关于住宿安排：</w:t>
      </w:r>
    </w:p>
    <w:p w14:paraId="0443C821"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录取至马来西亚分校的学生，</w:t>
      </w:r>
      <w:r>
        <w:rPr>
          <w:rFonts w:cs="Times New Roman" w:hint="eastAsia"/>
          <w:kern w:val="0"/>
          <w:szCs w:val="32"/>
          <w:shd w:val="clear" w:color="auto" w:fill="FFFFFF"/>
        </w:rPr>
        <w:t>在总校学习期间</w:t>
      </w:r>
      <w:r>
        <w:rPr>
          <w:rFonts w:cs="Times New Roman"/>
          <w:kern w:val="0"/>
          <w:szCs w:val="32"/>
          <w:shd w:val="clear" w:color="auto" w:fill="FFFFFF"/>
        </w:rPr>
        <w:t>将根据总校相关学院要求入住。</w:t>
      </w:r>
      <w:r>
        <w:rPr>
          <w:rFonts w:cs="Times New Roman" w:hint="eastAsia"/>
          <w:kern w:val="0"/>
          <w:szCs w:val="32"/>
          <w:shd w:val="clear" w:color="auto" w:fill="FFFFFF"/>
        </w:rPr>
        <w:t>在分校学习期间</w:t>
      </w:r>
      <w:r>
        <w:rPr>
          <w:rFonts w:cs="Times New Roman"/>
          <w:kern w:val="0"/>
          <w:szCs w:val="32"/>
          <w:shd w:val="clear" w:color="auto" w:fill="FFFFFF"/>
        </w:rPr>
        <w:t>入住分校学生公寓。</w:t>
      </w:r>
    </w:p>
    <w:p w14:paraId="376153AF" w14:textId="77777777" w:rsidR="002C171E" w:rsidRDefault="00000000">
      <w:pPr>
        <w:widowControl/>
        <w:ind w:firstLine="640"/>
        <w:rPr>
          <w:rFonts w:cs="Times New Roman"/>
          <w:kern w:val="0"/>
          <w:szCs w:val="32"/>
          <w:shd w:val="clear" w:color="auto" w:fill="FFFFFF"/>
        </w:rPr>
      </w:pPr>
      <w:r>
        <w:rPr>
          <w:rFonts w:cs="Times New Roman"/>
          <w:kern w:val="0"/>
          <w:szCs w:val="32"/>
          <w:shd w:val="clear" w:color="auto" w:fill="FFFFFF"/>
        </w:rPr>
        <w:t>马来西亚分校学生公寓房间类型为双人间，均配有空调、网络、独立卫生间、书桌椅、衣柜、鞋柜等，同时提供洗衣房、备餐间与公共活动区。双人间建筑面积约为</w:t>
      </w:r>
      <w:r>
        <w:rPr>
          <w:rFonts w:cs="Times New Roman"/>
          <w:kern w:val="0"/>
          <w:szCs w:val="32"/>
          <w:shd w:val="clear" w:color="auto" w:fill="FFFFFF"/>
        </w:rPr>
        <w:t>15.8-17.6</w:t>
      </w:r>
      <w:r>
        <w:rPr>
          <w:rFonts w:cs="Times New Roman"/>
          <w:kern w:val="0"/>
          <w:szCs w:val="32"/>
          <w:shd w:val="clear" w:color="auto" w:fill="FFFFFF"/>
        </w:rPr>
        <w:t>㎡，住宿费用为每人每月</w:t>
      </w:r>
      <w:r>
        <w:rPr>
          <w:rFonts w:cs="Times New Roman"/>
          <w:kern w:val="0"/>
          <w:szCs w:val="32"/>
          <w:shd w:val="clear" w:color="auto" w:fill="FFFFFF"/>
        </w:rPr>
        <w:t>360-460</w:t>
      </w:r>
      <w:r>
        <w:rPr>
          <w:rFonts w:cs="Times New Roman"/>
          <w:kern w:val="0"/>
          <w:szCs w:val="32"/>
          <w:shd w:val="clear" w:color="auto" w:fill="FFFFFF"/>
        </w:rPr>
        <w:t>林吉特，将根据实际住宿房间的收费标准收取。住宿费标准如有调整以分校住宿管理规定为准。在读期间，学生须住在学生公寓，未经批准不得无故退宿或私自到校外住宿。</w:t>
      </w:r>
    </w:p>
    <w:p w14:paraId="2BD4352B" w14:textId="77777777" w:rsidR="002C171E" w:rsidRDefault="00000000">
      <w:pPr>
        <w:widowControl/>
        <w:ind w:firstLine="640"/>
        <w:rPr>
          <w:rFonts w:cs="Times New Roman"/>
          <w:kern w:val="0"/>
          <w:szCs w:val="32"/>
          <w:shd w:val="clear" w:color="auto" w:fill="FFFFFF"/>
        </w:rPr>
      </w:pPr>
      <w:r>
        <w:rPr>
          <w:rFonts w:hint="eastAsia"/>
        </w:rPr>
        <w:t>6</w:t>
      </w:r>
      <w:r>
        <w:rPr>
          <w:rFonts w:hint="eastAsia"/>
        </w:rPr>
        <w:t>．</w:t>
      </w:r>
      <w:r>
        <w:rPr>
          <w:rFonts w:cs="Times New Roman"/>
          <w:kern w:val="0"/>
          <w:szCs w:val="32"/>
          <w:shd w:val="clear" w:color="auto" w:fill="FFFFFF"/>
        </w:rPr>
        <w:t>关于奖助学金：</w:t>
      </w:r>
    </w:p>
    <w:p w14:paraId="409CD2BC" w14:textId="3D98594F" w:rsidR="002C171E" w:rsidRDefault="00000000" w:rsidP="00380427">
      <w:pPr>
        <w:widowControl/>
        <w:ind w:firstLine="640"/>
        <w:rPr>
          <w:rFonts w:hint="eastAsia"/>
        </w:rPr>
      </w:pPr>
      <w:r>
        <w:rPr>
          <w:rFonts w:cs="Times New Roman"/>
          <w:kern w:val="0"/>
          <w:szCs w:val="32"/>
          <w:shd w:val="clear" w:color="auto" w:fill="FFFFFF"/>
        </w:rPr>
        <w:t>分校研究生奖助学金相关事项详见分校网址。</w:t>
      </w:r>
    </w:p>
    <w:sectPr w:rsidR="002C171E" w:rsidSect="00380427">
      <w:headerReference w:type="even" r:id="rId8"/>
      <w:headerReference w:type="default" r:id="rId9"/>
      <w:footerReference w:type="even" r:id="rId10"/>
      <w:footerReference w:type="default" r:id="rId11"/>
      <w:headerReference w:type="first" r:id="rId12"/>
      <w:footerReference w:type="first" r:id="rId13"/>
      <w:pgSz w:w="11906" w:h="16838"/>
      <w:pgMar w:top="1440" w:right="1797" w:bottom="1440" w:left="1797" w:header="851" w:footer="851"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189EA" w14:textId="77777777" w:rsidR="00173666" w:rsidRDefault="00173666">
      <w:pPr>
        <w:spacing w:line="240" w:lineRule="auto"/>
        <w:ind w:firstLine="640"/>
      </w:pPr>
      <w:r>
        <w:separator/>
      </w:r>
    </w:p>
  </w:endnote>
  <w:endnote w:type="continuationSeparator" w:id="0">
    <w:p w14:paraId="0F132DD9" w14:textId="77777777" w:rsidR="00173666" w:rsidRDefault="00173666">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angSong">
    <w:altName w:val="仿宋"/>
    <w:panose1 w:val="02010609060101010101"/>
    <w:charset w:val="86"/>
    <w:family w:val="modern"/>
    <w:pitch w:val="fixed"/>
    <w:sig w:usb0="800002BF" w:usb1="38CF7CFA"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方正小标宋简体">
    <w:altName w:val="Microsoft YaHei"/>
    <w:charset w:val="86"/>
    <w:family w:val="auto"/>
    <w:pitch w:val="default"/>
    <w:sig w:usb0="00000001" w:usb1="080E0000" w:usb2="0000000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5EBD3" w14:textId="77777777" w:rsidR="002C171E" w:rsidRDefault="002C17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CB88C" w14:textId="77777777" w:rsidR="002C171E" w:rsidRDefault="00000000">
    <w:pPr>
      <w:pStyle w:val="Footer"/>
    </w:pPr>
    <w:r>
      <w:rPr>
        <w:noProof/>
      </w:rPr>
      <mc:AlternateContent>
        <mc:Choice Requires="wps">
          <w:drawing>
            <wp:anchor distT="0" distB="0" distL="114300" distR="114300" simplePos="0" relativeHeight="251659264" behindDoc="0" locked="0" layoutInCell="1" allowOverlap="1" wp14:anchorId="1D556816" wp14:editId="7086CB10">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2EFD51" w14:textId="77777777" w:rsidR="002C171E" w:rsidRDefault="00000000">
                          <w:pPr>
                            <w:pStyle w:val="Footer"/>
                          </w:pPr>
                          <w:r>
                            <w:fldChar w:fldCharType="begin"/>
                          </w:r>
                          <w:r>
                            <w:instrText xml:space="preserve"> PAGE  \* MERGEFORMAT </w:instrText>
                          </w:r>
                          <w:r>
                            <w:fldChar w:fldCharType="separate"/>
                          </w:r>
                          <w:r>
                            <w:t>1</w:t>
                          </w:r>
                          <w:r>
                            <w:fldChar w:fldCharType="end"/>
                          </w:r>
                          <w:r>
                            <w:t xml:space="preserve"> / </w:t>
                          </w:r>
                          <w:fldSimple w:instr=" NUMPAGES  \* MERGEFORMAT ">
                            <w:r>
                              <w:t>5</w:t>
                            </w:r>
                          </w:fldSimple>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D556816"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32EFD51" w14:textId="77777777" w:rsidR="002C171E" w:rsidRDefault="00000000">
                    <w:pPr>
                      <w:pStyle w:val="Footer"/>
                    </w:pPr>
                    <w:r>
                      <w:fldChar w:fldCharType="begin"/>
                    </w:r>
                    <w:r>
                      <w:instrText xml:space="preserve"> PAGE  \* MERGEFORMAT </w:instrText>
                    </w:r>
                    <w:r>
                      <w:fldChar w:fldCharType="separate"/>
                    </w:r>
                    <w:r>
                      <w:t>1</w:t>
                    </w:r>
                    <w:r>
                      <w:fldChar w:fldCharType="end"/>
                    </w:r>
                    <w:r>
                      <w:t xml:space="preserve"> / </w:t>
                    </w:r>
                    <w:fldSimple w:instr=" NUMPAGES  \* MERGEFORMAT ">
                      <w:r>
                        <w:t>5</w:t>
                      </w:r>
                    </w:fldSimple>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1B35" w14:textId="77777777" w:rsidR="002C171E" w:rsidRDefault="002C17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91D4E" w14:textId="77777777" w:rsidR="00173666" w:rsidRDefault="00173666">
      <w:pPr>
        <w:spacing w:line="240" w:lineRule="auto"/>
        <w:ind w:firstLine="640"/>
      </w:pPr>
      <w:r>
        <w:separator/>
      </w:r>
    </w:p>
  </w:footnote>
  <w:footnote w:type="continuationSeparator" w:id="0">
    <w:p w14:paraId="7B1D3187" w14:textId="77777777" w:rsidR="00173666" w:rsidRDefault="00173666">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1AF9A" w14:textId="77777777" w:rsidR="002C171E" w:rsidRDefault="002C17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EE9CB" w14:textId="77777777" w:rsidR="002C171E" w:rsidRDefault="002C17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A5CE0" w14:textId="77777777" w:rsidR="002C171E" w:rsidRDefault="002C17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420"/>
  <w:drawingGridVerticalSpacing w:val="220"/>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DF0"/>
    <w:rsid w:val="0000251A"/>
    <w:rsid w:val="000047BF"/>
    <w:rsid w:val="00025386"/>
    <w:rsid w:val="00032C3E"/>
    <w:rsid w:val="00034B5B"/>
    <w:rsid w:val="00044B11"/>
    <w:rsid w:val="00050EC6"/>
    <w:rsid w:val="0008206A"/>
    <w:rsid w:val="0009773B"/>
    <w:rsid w:val="000C305F"/>
    <w:rsid w:val="000D41B3"/>
    <w:rsid w:val="000E770E"/>
    <w:rsid w:val="000F117F"/>
    <w:rsid w:val="00117C33"/>
    <w:rsid w:val="00152AE0"/>
    <w:rsid w:val="001570C9"/>
    <w:rsid w:val="00173666"/>
    <w:rsid w:val="00194EA4"/>
    <w:rsid w:val="001978D8"/>
    <w:rsid w:val="0019792E"/>
    <w:rsid w:val="001A3502"/>
    <w:rsid w:val="001A42E0"/>
    <w:rsid w:val="001B0951"/>
    <w:rsid w:val="001D1B9F"/>
    <w:rsid w:val="001D76F4"/>
    <w:rsid w:val="002141F6"/>
    <w:rsid w:val="00230216"/>
    <w:rsid w:val="002654AF"/>
    <w:rsid w:val="0027145B"/>
    <w:rsid w:val="00287DF0"/>
    <w:rsid w:val="002A2720"/>
    <w:rsid w:val="002A502A"/>
    <w:rsid w:val="002C171E"/>
    <w:rsid w:val="002E2EC2"/>
    <w:rsid w:val="002F1E68"/>
    <w:rsid w:val="003118E0"/>
    <w:rsid w:val="0036345B"/>
    <w:rsid w:val="003660D4"/>
    <w:rsid w:val="003708C7"/>
    <w:rsid w:val="00380427"/>
    <w:rsid w:val="003806C9"/>
    <w:rsid w:val="003819DF"/>
    <w:rsid w:val="00387278"/>
    <w:rsid w:val="003C042B"/>
    <w:rsid w:val="003E16C4"/>
    <w:rsid w:val="003F7C5F"/>
    <w:rsid w:val="00422967"/>
    <w:rsid w:val="00442518"/>
    <w:rsid w:val="00450CF4"/>
    <w:rsid w:val="00464A5D"/>
    <w:rsid w:val="0049706B"/>
    <w:rsid w:val="004B3275"/>
    <w:rsid w:val="004D5477"/>
    <w:rsid w:val="004F2A07"/>
    <w:rsid w:val="004F6BD2"/>
    <w:rsid w:val="00516AC6"/>
    <w:rsid w:val="0052507A"/>
    <w:rsid w:val="00530D55"/>
    <w:rsid w:val="005452AD"/>
    <w:rsid w:val="005470AB"/>
    <w:rsid w:val="00563D8D"/>
    <w:rsid w:val="00574801"/>
    <w:rsid w:val="005922E0"/>
    <w:rsid w:val="005A3CCB"/>
    <w:rsid w:val="005A7D4C"/>
    <w:rsid w:val="005C5377"/>
    <w:rsid w:val="005D277D"/>
    <w:rsid w:val="005E5A23"/>
    <w:rsid w:val="005F5735"/>
    <w:rsid w:val="00606413"/>
    <w:rsid w:val="00624F30"/>
    <w:rsid w:val="00637167"/>
    <w:rsid w:val="006B6AEE"/>
    <w:rsid w:val="00711DE8"/>
    <w:rsid w:val="007141AB"/>
    <w:rsid w:val="00724C83"/>
    <w:rsid w:val="00727E27"/>
    <w:rsid w:val="007317A6"/>
    <w:rsid w:val="00732FE9"/>
    <w:rsid w:val="00736713"/>
    <w:rsid w:val="0074244F"/>
    <w:rsid w:val="007677F6"/>
    <w:rsid w:val="007820CD"/>
    <w:rsid w:val="007B3435"/>
    <w:rsid w:val="007C16B1"/>
    <w:rsid w:val="007C7769"/>
    <w:rsid w:val="007D1CBF"/>
    <w:rsid w:val="008064D5"/>
    <w:rsid w:val="00842595"/>
    <w:rsid w:val="00845118"/>
    <w:rsid w:val="00887D09"/>
    <w:rsid w:val="0089482F"/>
    <w:rsid w:val="008A1F48"/>
    <w:rsid w:val="008C52FF"/>
    <w:rsid w:val="008E5539"/>
    <w:rsid w:val="00902F2D"/>
    <w:rsid w:val="0091685E"/>
    <w:rsid w:val="009345B3"/>
    <w:rsid w:val="00941F54"/>
    <w:rsid w:val="009535A6"/>
    <w:rsid w:val="00967263"/>
    <w:rsid w:val="00970657"/>
    <w:rsid w:val="00991FBE"/>
    <w:rsid w:val="009B33CD"/>
    <w:rsid w:val="009C755A"/>
    <w:rsid w:val="009F4970"/>
    <w:rsid w:val="00A02CC5"/>
    <w:rsid w:val="00A04D0E"/>
    <w:rsid w:val="00A21D7C"/>
    <w:rsid w:val="00A225E5"/>
    <w:rsid w:val="00A239D3"/>
    <w:rsid w:val="00A42C7A"/>
    <w:rsid w:val="00A431E8"/>
    <w:rsid w:val="00A45FCA"/>
    <w:rsid w:val="00A62700"/>
    <w:rsid w:val="00AD45A9"/>
    <w:rsid w:val="00B0521A"/>
    <w:rsid w:val="00B118E8"/>
    <w:rsid w:val="00B20CC3"/>
    <w:rsid w:val="00B22D85"/>
    <w:rsid w:val="00B23F03"/>
    <w:rsid w:val="00B4202C"/>
    <w:rsid w:val="00B51272"/>
    <w:rsid w:val="00B568CD"/>
    <w:rsid w:val="00B71808"/>
    <w:rsid w:val="00B72203"/>
    <w:rsid w:val="00B80A37"/>
    <w:rsid w:val="00B85D52"/>
    <w:rsid w:val="00BA6F78"/>
    <w:rsid w:val="00BE1AED"/>
    <w:rsid w:val="00BF0FAB"/>
    <w:rsid w:val="00C3035F"/>
    <w:rsid w:val="00C75BFB"/>
    <w:rsid w:val="00C84775"/>
    <w:rsid w:val="00C8661A"/>
    <w:rsid w:val="00CE4B36"/>
    <w:rsid w:val="00CE7BD0"/>
    <w:rsid w:val="00CF19A2"/>
    <w:rsid w:val="00D10E79"/>
    <w:rsid w:val="00D274CF"/>
    <w:rsid w:val="00D57CFD"/>
    <w:rsid w:val="00D60DE9"/>
    <w:rsid w:val="00D74456"/>
    <w:rsid w:val="00D77196"/>
    <w:rsid w:val="00D80697"/>
    <w:rsid w:val="00D81F6A"/>
    <w:rsid w:val="00D87C51"/>
    <w:rsid w:val="00D907CB"/>
    <w:rsid w:val="00DD2C7A"/>
    <w:rsid w:val="00DD2CDE"/>
    <w:rsid w:val="00DD3047"/>
    <w:rsid w:val="00DE31C6"/>
    <w:rsid w:val="00E051D4"/>
    <w:rsid w:val="00E128AA"/>
    <w:rsid w:val="00E413FB"/>
    <w:rsid w:val="00E56543"/>
    <w:rsid w:val="00EA36B3"/>
    <w:rsid w:val="00EA6D08"/>
    <w:rsid w:val="00EC3612"/>
    <w:rsid w:val="00EC58D9"/>
    <w:rsid w:val="00ED71AC"/>
    <w:rsid w:val="00EE4491"/>
    <w:rsid w:val="00EF36B4"/>
    <w:rsid w:val="00F03A58"/>
    <w:rsid w:val="00F37A8F"/>
    <w:rsid w:val="00F63B20"/>
    <w:rsid w:val="00F65D53"/>
    <w:rsid w:val="00FD66B9"/>
    <w:rsid w:val="00FE51CE"/>
    <w:rsid w:val="0A206C92"/>
    <w:rsid w:val="0A660C5A"/>
    <w:rsid w:val="100F7F09"/>
    <w:rsid w:val="181B1F72"/>
    <w:rsid w:val="1EBE34CA"/>
    <w:rsid w:val="207A2614"/>
    <w:rsid w:val="24D01560"/>
    <w:rsid w:val="25D23219"/>
    <w:rsid w:val="26EB3B6A"/>
    <w:rsid w:val="27504770"/>
    <w:rsid w:val="2DD63E21"/>
    <w:rsid w:val="31CD1135"/>
    <w:rsid w:val="3BF202B6"/>
    <w:rsid w:val="3E330175"/>
    <w:rsid w:val="49E54986"/>
    <w:rsid w:val="51EA2187"/>
    <w:rsid w:val="554C019A"/>
    <w:rsid w:val="57A0685C"/>
    <w:rsid w:val="57EF42E1"/>
    <w:rsid w:val="5EDB2EAA"/>
    <w:rsid w:val="6247591F"/>
    <w:rsid w:val="65C24358"/>
    <w:rsid w:val="68D756E5"/>
    <w:rsid w:val="6A8D64AE"/>
    <w:rsid w:val="73AE7CE1"/>
    <w:rsid w:val="75FC2B3E"/>
    <w:rsid w:val="7EEF18BB"/>
    <w:rsid w:val="7F983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00E918B"/>
  <w15:docId w15:val="{93CBEA31-D876-4366-AA80-5E66B563B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MY"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560" w:lineRule="exact"/>
      <w:ind w:firstLineChars="200" w:firstLine="420"/>
      <w:jc w:val="both"/>
    </w:pPr>
    <w:rPr>
      <w:rFonts w:eastAsia="FangSong" w:cstheme="minorBidi"/>
      <w:kern w:val="2"/>
      <w:sz w:val="32"/>
      <w:szCs w:val="24"/>
      <w:lang w:val="en-US"/>
    </w:rPr>
  </w:style>
  <w:style w:type="paragraph" w:styleId="Heading1">
    <w:name w:val="heading 1"/>
    <w:basedOn w:val="Normal"/>
    <w:next w:val="Normal"/>
    <w:qFormat/>
    <w:pPr>
      <w:keepNext/>
      <w:keepLines/>
      <w:outlineLvl w:val="0"/>
    </w:pPr>
    <w:rPr>
      <w:rFonts w:eastAsia="SimHei"/>
      <w:kern w:val="44"/>
    </w:rPr>
  </w:style>
  <w:style w:type="paragraph" w:styleId="Heading2">
    <w:name w:val="heading 2"/>
    <w:basedOn w:val="Normal"/>
    <w:next w:val="Normal"/>
    <w:unhideWhenUsed/>
    <w:qFormat/>
    <w:pPr>
      <w:keepNext/>
      <w:keepLines/>
      <w:outlineLvl w:val="1"/>
    </w:pPr>
    <w:rPr>
      <w:rFonts w:eastAsia="KaiTi"/>
    </w:rPr>
  </w:style>
  <w:style w:type="paragraph" w:styleId="Heading3">
    <w:name w:val="heading 3"/>
    <w:basedOn w:val="Normal"/>
    <w:next w:val="Normal"/>
    <w:semiHidden/>
    <w:unhideWhenUsed/>
    <w:qFormat/>
    <w:pPr>
      <w:keepNext/>
      <w:keepLines/>
      <w:outlineLvl w:val="2"/>
    </w:pPr>
    <w:rPr>
      <w:b/>
    </w:rPr>
  </w:style>
  <w:style w:type="paragraph" w:styleId="Heading4">
    <w:name w:val="heading 4"/>
    <w:basedOn w:val="Normal"/>
    <w:next w:val="Normal"/>
    <w:semiHidden/>
    <w:unhideWhenUsed/>
    <w:qFormat/>
    <w:pPr>
      <w:keepNext/>
      <w:keepLines/>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spacing w:line="240" w:lineRule="auto"/>
      <w:ind w:firstLineChars="0" w:firstLine="0"/>
      <w:jc w:val="left"/>
    </w:pPr>
    <w:rPr>
      <w:sz w:val="28"/>
    </w:rPr>
  </w:style>
  <w:style w:type="paragraph" w:styleId="BalloonText">
    <w:name w:val="Balloon Text"/>
    <w:basedOn w:val="Normal"/>
    <w:link w:val="BalloonTextChar"/>
    <w:qFormat/>
    <w:rPr>
      <w:sz w:val="18"/>
    </w:rPr>
  </w:style>
  <w:style w:type="paragraph" w:styleId="Footer">
    <w:name w:val="footer"/>
    <w:basedOn w:val="Normal"/>
    <w:link w:val="FooterChar"/>
    <w:uiPriority w:val="99"/>
    <w:qFormat/>
    <w:pPr>
      <w:tabs>
        <w:tab w:val="center" w:pos="4153"/>
        <w:tab w:val="right" w:pos="8306"/>
      </w:tabs>
      <w:snapToGrid w:val="0"/>
      <w:spacing w:line="240" w:lineRule="auto"/>
      <w:ind w:firstLineChars="0" w:firstLine="0"/>
    </w:pPr>
    <w:rPr>
      <w:rFonts w:eastAsia="SimSun"/>
      <w:sz w:val="28"/>
    </w:rPr>
  </w:style>
  <w:style w:type="paragraph" w:styleId="Header">
    <w:name w:val="header"/>
    <w:basedOn w:val="Normal"/>
    <w:link w:val="HeaderChar"/>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ind w:firstLineChars="0" w:firstLine="0"/>
    </w:pPr>
    <w:rPr>
      <w:rFonts w:eastAsia="SimSun"/>
      <w:sz w:val="28"/>
    </w:rPr>
  </w:style>
  <w:style w:type="paragraph" w:styleId="Subtitle">
    <w:name w:val="Subtitle"/>
    <w:basedOn w:val="Normal"/>
    <w:next w:val="Normal"/>
    <w:qFormat/>
    <w:pPr>
      <w:ind w:firstLineChars="0" w:firstLine="0"/>
      <w:jc w:val="center"/>
    </w:pPr>
    <w:rPr>
      <w:rFonts w:eastAsia="KaiTi"/>
      <w:kern w:val="28"/>
    </w:rPr>
  </w:style>
  <w:style w:type="paragraph" w:styleId="NormalWeb">
    <w:name w:val="Normal (Web)"/>
    <w:basedOn w:val="Normal"/>
    <w:qFormat/>
    <w:pPr>
      <w:spacing w:beforeAutospacing="1" w:afterAutospacing="1"/>
      <w:jc w:val="left"/>
    </w:pPr>
    <w:rPr>
      <w:rFonts w:cs="Times New Roman"/>
      <w:kern w:val="0"/>
      <w:sz w:val="24"/>
    </w:rPr>
  </w:style>
  <w:style w:type="paragraph" w:styleId="CommentSubject">
    <w:name w:val="annotation subject"/>
    <w:basedOn w:val="CommentText"/>
    <w:next w:val="CommentText"/>
    <w:link w:val="CommentSubjectChar"/>
    <w:qFormat/>
    <w:rPr>
      <w:b/>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PageNumber">
    <w:name w:val="page number"/>
    <w:basedOn w:val="DefaultParagraphFont"/>
    <w:qFormat/>
    <w:rPr>
      <w:rFonts w:ascii="Times New Roman" w:eastAsia="SimSun" w:hAnsi="Times New Roman"/>
      <w:sz w:val="28"/>
    </w:rPr>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rPr>
  </w:style>
  <w:style w:type="paragraph" w:customStyle="1" w:styleId="a">
    <w:name w:val="大标题"/>
    <w:basedOn w:val="Normal"/>
    <w:next w:val="Normal"/>
    <w:qFormat/>
    <w:pPr>
      <w:spacing w:line="640" w:lineRule="exact"/>
      <w:ind w:firstLineChars="0" w:firstLine="0"/>
      <w:jc w:val="center"/>
    </w:pPr>
    <w:rPr>
      <w:rFonts w:ascii="方正小标宋简体" w:eastAsia="方正小标宋简体" w:hAnsi="方正小标宋简体"/>
      <w:sz w:val="44"/>
    </w:rPr>
  </w:style>
  <w:style w:type="character" w:customStyle="1" w:styleId="HeaderChar">
    <w:name w:val="Header Char"/>
    <w:link w:val="Header"/>
    <w:uiPriority w:val="99"/>
    <w:qFormat/>
    <w:rPr>
      <w:rFonts w:ascii="Times New Roman" w:eastAsia="SimSun" w:hAnsi="Times New Roman"/>
      <w:sz w:val="28"/>
    </w:rPr>
  </w:style>
  <w:style w:type="character" w:customStyle="1" w:styleId="FooterChar">
    <w:name w:val="Footer Char"/>
    <w:link w:val="Footer"/>
    <w:uiPriority w:val="99"/>
    <w:qFormat/>
    <w:rPr>
      <w:rFonts w:ascii="Times New Roman" w:eastAsia="SimSun" w:hAnsi="Times New Roman"/>
      <w:sz w:val="28"/>
    </w:rPr>
  </w:style>
  <w:style w:type="character" w:customStyle="1" w:styleId="CommentTextChar">
    <w:name w:val="Comment Text Char"/>
    <w:link w:val="CommentText"/>
    <w:uiPriority w:val="99"/>
    <w:semiHidden/>
    <w:qFormat/>
    <w:rPr>
      <w:rFonts w:ascii="Times New Roman" w:hAnsi="Times New Roman"/>
      <w:sz w:val="28"/>
    </w:rPr>
  </w:style>
  <w:style w:type="character" w:customStyle="1" w:styleId="CommentSubjectChar">
    <w:name w:val="Comment Subject Char"/>
    <w:link w:val="CommentSubject"/>
    <w:uiPriority w:val="99"/>
    <w:semiHidden/>
    <w:qFormat/>
    <w:rPr>
      <w:b/>
    </w:rPr>
  </w:style>
  <w:style w:type="paragraph" w:customStyle="1" w:styleId="1">
    <w:name w:val="修订1"/>
    <w:hidden/>
    <w:uiPriority w:val="99"/>
    <w:semiHidden/>
    <w:qFormat/>
    <w:rPr>
      <w:rFonts w:asciiTheme="minorHAnsi" w:eastAsiaTheme="minorEastAsia" w:hAnsiTheme="minorHAnsi" w:cstheme="minorBidi"/>
      <w:kern w:val="2"/>
      <w:sz w:val="21"/>
      <w:szCs w:val="22"/>
      <w:lang w:val="en-US"/>
    </w:rPr>
  </w:style>
  <w:style w:type="character" w:customStyle="1" w:styleId="BalloonTextChar">
    <w:name w:val="Balloon Text Char"/>
    <w:link w:val="BalloonText"/>
    <w:uiPriority w:val="99"/>
    <w:semiHidden/>
    <w:qFormat/>
    <w:rPr>
      <w:sz w:val="18"/>
    </w:rPr>
  </w:style>
  <w:style w:type="paragraph" w:styleId="ListParagraph">
    <w:name w:val="List Paragraph"/>
    <w:basedOn w:val="Normal"/>
    <w:uiPriority w:val="34"/>
    <w:qFormat/>
  </w:style>
  <w:style w:type="character" w:customStyle="1" w:styleId="10">
    <w:name w:val="未处理的提及1"/>
    <w:basedOn w:val="DefaultParagraphFont"/>
    <w:uiPriority w:val="99"/>
    <w:semiHidden/>
    <w:unhideWhenUsed/>
    <w:qFormat/>
    <w:rPr>
      <w:color w:val="605E5C"/>
      <w:shd w:val="clear" w:color="auto" w:fill="E1DFDD"/>
    </w:rPr>
  </w:style>
  <w:style w:type="character" w:customStyle="1" w:styleId="vsb18">
    <w:name w:val="vsb_18"/>
    <w:basedOn w:val="DefaultParagraphFont"/>
    <w:qFormat/>
  </w:style>
  <w:style w:type="paragraph" w:customStyle="1" w:styleId="Revision1">
    <w:name w:val="Revision1"/>
    <w:hidden/>
    <w:uiPriority w:val="99"/>
    <w:semiHidden/>
    <w:qFormat/>
    <w:rPr>
      <w:rFonts w:eastAsia="FangSong" w:cstheme="minorBidi"/>
      <w:kern w:val="2"/>
      <w:sz w:val="32"/>
      <w:szCs w:val="24"/>
      <w:lang w:val="en-US"/>
    </w:rPr>
  </w:style>
  <w:style w:type="paragraph" w:customStyle="1" w:styleId="Revision2">
    <w:name w:val="Revision2"/>
    <w:hidden/>
    <w:uiPriority w:val="99"/>
    <w:unhideWhenUsed/>
    <w:qFormat/>
    <w:rPr>
      <w:rFonts w:eastAsia="FangSong" w:cstheme="minorBidi"/>
      <w:kern w:val="2"/>
      <w:sz w:val="32"/>
      <w:szCs w:val="24"/>
      <w:lang w:val="en-US"/>
    </w:rPr>
  </w:style>
  <w:style w:type="paragraph" w:styleId="Revision">
    <w:name w:val="Revision"/>
    <w:hidden/>
    <w:uiPriority w:val="99"/>
    <w:unhideWhenUsed/>
    <w:rsid w:val="003C042B"/>
    <w:rPr>
      <w:rFonts w:eastAsia="FangSong" w:cstheme="minorBidi"/>
      <w:kern w:val="2"/>
      <w:sz w:val="3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E0459C-1641-464A-8DA6-C87EB2C0F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208</Words>
  <Characters>1189</Characters>
  <Application>Microsoft Office Word</Application>
  <DocSecurity>0</DocSecurity>
  <Lines>9</Lines>
  <Paragraphs>2</Paragraphs>
  <ScaleCrop>false</ScaleCrop>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 w</dc:creator>
  <cp:lastModifiedBy>Postgraduate Studies Unit</cp:lastModifiedBy>
  <cp:revision>2</cp:revision>
  <cp:lastPrinted>2026-09-18T02:14:00Z</cp:lastPrinted>
  <dcterms:created xsi:type="dcterms:W3CDTF">2026-09-18T11:36:00Z</dcterms:created>
  <dcterms:modified xsi:type="dcterms:W3CDTF">2026-09-18T11:36:00Z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eyJoZGlkIjoiMWM1ZGI2ZjQwOGEzMDlhYjc2Zjk2OWJmOGViYTkyODAiLCJ1c2VySWQiOiIzODUyNzg2MTUifQ==</vt:lpwstr>
  </property>
  <property fmtid="{D5CDD505-2E9C-101B-9397-08002B2CF9AE}" pid="3" name="KSOProductBuildVer">
    <vt:lpwstr>2052-12.1.0.28043</vt:lpwstr>
  </property>
  <property fmtid="{D5CDD505-2E9C-101B-9397-08002B2CF9AE}" pid="4" name="ICV">
    <vt:lpwstr>13EF001BD1044D62A3474C030A8BB00F_13</vt:lpwstr>
  </property>
</Properties>
</file>